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01C5E" w:rsidRDefault="00204D7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B913A8" w:rsidP="00201C5E">
      <w:pPr>
        <w:rPr>
          <w:sz w:val="28"/>
          <w:szCs w:val="28"/>
        </w:rPr>
      </w:pPr>
      <w:r>
        <w:rPr>
          <w:sz w:val="28"/>
          <w:szCs w:val="28"/>
        </w:rPr>
        <w:t>04.04.2022г.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580E85">
        <w:rPr>
          <w:sz w:val="28"/>
          <w:szCs w:val="28"/>
        </w:rPr>
        <w:t xml:space="preserve">ка                          </w:t>
      </w:r>
      <w:r w:rsidR="00580E85" w:rsidRPr="00B913A8">
        <w:rPr>
          <w:sz w:val="28"/>
          <w:szCs w:val="28"/>
        </w:rPr>
        <w:t xml:space="preserve">№ </w:t>
      </w:r>
      <w:r>
        <w:rPr>
          <w:sz w:val="28"/>
          <w:szCs w:val="28"/>
        </w:rPr>
        <w:t>33-п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p w:rsidR="00C07C8F" w:rsidRDefault="00C07C8F" w:rsidP="00C07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постановлении администрации от 17.05.2019 № 12-п </w:t>
      </w:r>
    </w:p>
    <w:p w:rsidR="00C07C8F" w:rsidRDefault="00C07C8F" w:rsidP="00C07C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«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консолидации бюджетных средств и оптимизации бюджетных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сельсовета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7C8F" w:rsidRDefault="00C07C8F" w:rsidP="00C07C8F">
      <w:pPr>
        <w:pStyle w:val="ConsPlusTitle"/>
        <w:spacing w:line="276" w:lineRule="auto"/>
        <w:jc w:val="center"/>
        <w:rPr>
          <w:sz w:val="28"/>
          <w:szCs w:val="28"/>
        </w:rPr>
      </w:pPr>
      <w:r w:rsidRPr="00375395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9 - 2022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C07C8F" w:rsidRDefault="00C07C8F" w:rsidP="00C07C8F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C07C8F" w:rsidRDefault="00C07C8F" w:rsidP="00C07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96F">
        <w:rPr>
          <w:rFonts w:ascii="Times New Roman" w:hAnsi="Times New Roman" w:cs="Times New Roman"/>
          <w:sz w:val="28"/>
          <w:szCs w:val="28"/>
        </w:rPr>
        <w:t>В соответствии с Соглашением «О мерах по обеспечению устойчивого социально-экономического развития и оздоровлению муниципальных финансов муниципального образования» п.2,  п.п. 2.2.2, абзац 5</w:t>
      </w:r>
    </w:p>
    <w:p w:rsidR="00C07C8F" w:rsidRPr="00AE6DC5" w:rsidRDefault="00C07C8F" w:rsidP="00C07C8F">
      <w:pPr>
        <w:ind w:firstLine="1134"/>
        <w:jc w:val="both"/>
        <w:rPr>
          <w:sz w:val="28"/>
          <w:szCs w:val="28"/>
        </w:rPr>
      </w:pPr>
    </w:p>
    <w:p w:rsidR="00C07C8F" w:rsidRDefault="00C07C8F" w:rsidP="00C07C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C07C8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End w:id="0"/>
      <w:r w:rsidRPr="00C07C8F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 «</w:t>
      </w:r>
      <w:r w:rsidRPr="00C07C8F">
        <w:rPr>
          <w:rFonts w:ascii="Times New Roman" w:hAnsi="Times New Roman" w:cs="Times New Roman"/>
          <w:b w:val="0"/>
          <w:sz w:val="28"/>
          <w:szCs w:val="28"/>
        </w:rPr>
        <w:t>План консолидации бюджетных средств и оптимизации бюджетных расходов Александровского сельсовета на 2019 - 2022 годы», утвержденный Постановление администрации муниципального образования Александровский сельсовет Саракташского района Оренбургской области</w:t>
      </w:r>
      <w:r w:rsidRPr="00C07C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17.05.2019 № 12-п, утвердив </w:t>
      </w:r>
      <w:r w:rsidRPr="00C07C8F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C8F">
        <w:rPr>
          <w:rFonts w:ascii="Times New Roman" w:hAnsi="Times New Roman" w:cs="Times New Roman"/>
          <w:b w:val="0"/>
          <w:sz w:val="28"/>
          <w:szCs w:val="28"/>
        </w:rPr>
        <w:t>мероприятий по росту доходного потенциала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C8F">
        <w:rPr>
          <w:rFonts w:ascii="Times New Roman" w:hAnsi="Times New Roman" w:cs="Times New Roman"/>
          <w:b w:val="0"/>
          <w:sz w:val="28"/>
          <w:szCs w:val="28"/>
        </w:rPr>
        <w:t>и оптимизации расходов бюджета Александровского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приложению. </w:t>
      </w:r>
    </w:p>
    <w:p w:rsidR="00C07C8F" w:rsidRPr="00C07C8F" w:rsidRDefault="00C07C8F" w:rsidP="00C07C8F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07C8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07C8F">
        <w:rPr>
          <w:rFonts w:ascii="Times New Roman" w:hAnsi="Times New Roman"/>
          <w:b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C07C8F" w:rsidRPr="00C07C8F" w:rsidRDefault="00C07C8F" w:rsidP="00C07C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8F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подписания и распространяется на правоотношения, возникшие с 1 января 2019 года.</w:t>
      </w:r>
    </w:p>
    <w:p w:rsidR="00C07C8F" w:rsidRPr="00C07C8F" w:rsidRDefault="00C07C8F" w:rsidP="00C07C8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07C8F" w:rsidRDefault="00CD5E88" w:rsidP="00C07C8F">
      <w:pPr>
        <w:jc w:val="both"/>
        <w:rPr>
          <w:sz w:val="28"/>
        </w:rPr>
      </w:pPr>
      <w:r w:rsidRPr="00CD5E88">
        <w:rPr>
          <w:sz w:val="28"/>
        </w:rPr>
        <w:t>Г</w:t>
      </w:r>
      <w:r w:rsidR="00C07C8F">
        <w:rPr>
          <w:sz w:val="28"/>
        </w:rPr>
        <w:t>лава</w:t>
      </w:r>
      <w:r>
        <w:rPr>
          <w:sz w:val="28"/>
        </w:rPr>
        <w:t xml:space="preserve"> </w:t>
      </w:r>
    </w:p>
    <w:p w:rsidR="00C07C8F" w:rsidRDefault="00C07C8F" w:rsidP="00C07C8F">
      <w:pPr>
        <w:jc w:val="both"/>
        <w:rPr>
          <w:sz w:val="28"/>
        </w:rPr>
      </w:pPr>
      <w:r>
        <w:rPr>
          <w:sz w:val="28"/>
        </w:rPr>
        <w:t>Александровского сельсовета                                               Е.</w:t>
      </w:r>
      <w:r w:rsidR="00CD5E88">
        <w:rPr>
          <w:sz w:val="28"/>
        </w:rPr>
        <w:t>Д.Рябенко</w:t>
      </w:r>
    </w:p>
    <w:p w:rsidR="00C07C8F" w:rsidRDefault="00C07C8F" w:rsidP="00C07C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7C8F" w:rsidRPr="00830AC8" w:rsidRDefault="00C07C8F" w:rsidP="00C07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финансовый отдел администрации Саракташского района, официальный сайт, в дело.</w:t>
      </w:r>
    </w:p>
    <w:p w:rsidR="00C07C8F" w:rsidRDefault="00C07C8F" w:rsidP="00C07C8F">
      <w:pPr>
        <w:rPr>
          <w:rStyle w:val="FontStyle19"/>
          <w:sz w:val="28"/>
          <w:szCs w:val="28"/>
        </w:rPr>
      </w:pPr>
    </w:p>
    <w:p w:rsidR="00C07C8F" w:rsidRDefault="00C07C8F" w:rsidP="00C07C8F">
      <w:pPr>
        <w:pStyle w:val="af0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C07C8F" w:rsidRPr="00C07C8F" w:rsidRDefault="00C07C8F" w:rsidP="00C07C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E85" w:rsidRPr="0065537B" w:rsidRDefault="00580E85" w:rsidP="00580E85">
      <w:pPr>
        <w:rPr>
          <w:sz w:val="28"/>
        </w:rPr>
      </w:pPr>
    </w:p>
    <w:p w:rsidR="00580E85" w:rsidRDefault="00580E85" w:rsidP="00580E85">
      <w:pPr>
        <w:rPr>
          <w:sz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C07C8F" w:rsidRDefault="00C07C8F" w:rsidP="00C07C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07C8F" w:rsidSect="00CD5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C8F" w:rsidRPr="0076711F" w:rsidRDefault="00C07C8F" w:rsidP="00C07C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lastRenderedPageBreak/>
        <w:t>Приложение к плану</w:t>
      </w:r>
    </w:p>
    <w:p w:rsidR="00C07C8F" w:rsidRPr="0076711F" w:rsidRDefault="00C07C8F" w:rsidP="00C07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мероприятий по оздоровлению</w:t>
      </w:r>
    </w:p>
    <w:p w:rsidR="00C07C8F" w:rsidRPr="0076711F" w:rsidRDefault="00C07C8F" w:rsidP="00C07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муниципальных  финансов</w:t>
      </w:r>
    </w:p>
    <w:p w:rsidR="00C07C8F" w:rsidRPr="0076711F" w:rsidRDefault="00C07C8F" w:rsidP="00C07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C07C8F" w:rsidRPr="0076711F" w:rsidRDefault="00C07C8F" w:rsidP="00C07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на 2019 - 2022 годы</w:t>
      </w:r>
    </w:p>
    <w:p w:rsidR="00C07C8F" w:rsidRPr="0076711F" w:rsidRDefault="00C07C8F" w:rsidP="00C07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C8F" w:rsidRPr="0076711F" w:rsidRDefault="00C07C8F" w:rsidP="00C07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78"/>
      <w:bookmarkEnd w:id="1"/>
      <w:r w:rsidRPr="0076711F">
        <w:rPr>
          <w:rFonts w:ascii="Times New Roman" w:hAnsi="Times New Roman" w:cs="Times New Roman"/>
          <w:sz w:val="28"/>
          <w:szCs w:val="28"/>
        </w:rPr>
        <w:t>План</w:t>
      </w:r>
    </w:p>
    <w:p w:rsidR="00C07C8F" w:rsidRPr="0076711F" w:rsidRDefault="00C07C8F" w:rsidP="00C07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</w:t>
      </w:r>
    </w:p>
    <w:p w:rsidR="00C07C8F" w:rsidRPr="0076711F" w:rsidRDefault="00C07C8F" w:rsidP="00C07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711F">
        <w:rPr>
          <w:rFonts w:ascii="Times New Roman" w:hAnsi="Times New Roman" w:cs="Times New Roman"/>
          <w:sz w:val="28"/>
          <w:szCs w:val="28"/>
        </w:rPr>
        <w:t>и оптимизации расходов бюджета Александровского сельсовета</w:t>
      </w:r>
    </w:p>
    <w:p w:rsidR="00C07C8F" w:rsidRPr="0076711F" w:rsidRDefault="00C07C8F" w:rsidP="00C07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9217"/>
        <w:gridCol w:w="1701"/>
        <w:gridCol w:w="1134"/>
        <w:gridCol w:w="1134"/>
        <w:gridCol w:w="1418"/>
      </w:tblGrid>
      <w:tr w:rsidR="00C07C8F" w:rsidRPr="00C07C8F" w:rsidTr="00C07C8F">
        <w:trPr>
          <w:trHeight w:val="276"/>
        </w:trPr>
        <w:tc>
          <w:tcPr>
            <w:tcW w:w="484" w:type="dxa"/>
            <w:vMerge w:val="restart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217" w:type="dxa"/>
            <w:vMerge w:val="restart"/>
          </w:tcPr>
          <w:p w:rsidR="00C07C8F" w:rsidRPr="00C07C8F" w:rsidRDefault="00C07C8F" w:rsidP="00C07C8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07C8F" w:rsidRPr="00C07C8F" w:rsidRDefault="00C07C8F" w:rsidP="00C07C8F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Бюджетный эффект</w:t>
            </w:r>
          </w:p>
          <w:p w:rsidR="00C07C8F" w:rsidRPr="00C07C8F" w:rsidRDefault="00C07C8F" w:rsidP="00C07C8F">
            <w:pPr>
              <w:jc w:val="center"/>
              <w:rPr>
                <w:sz w:val="22"/>
                <w:szCs w:val="22"/>
              </w:rPr>
            </w:pPr>
            <w:r w:rsidRPr="00C07C8F">
              <w:rPr>
                <w:sz w:val="22"/>
                <w:szCs w:val="22"/>
              </w:rPr>
              <w:t>(тыс. рублей)</w:t>
            </w:r>
          </w:p>
        </w:tc>
      </w:tr>
      <w:tr w:rsidR="00C07C8F" w:rsidRPr="00C07C8F" w:rsidTr="00C07C8F">
        <w:tc>
          <w:tcPr>
            <w:tcW w:w="484" w:type="dxa"/>
            <w:vMerge/>
          </w:tcPr>
          <w:p w:rsidR="00C07C8F" w:rsidRPr="00C07C8F" w:rsidRDefault="00C07C8F" w:rsidP="00C07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7" w:type="dxa"/>
            <w:vMerge/>
          </w:tcPr>
          <w:p w:rsidR="00C07C8F" w:rsidRPr="00C07C8F" w:rsidRDefault="00C07C8F" w:rsidP="00C07C8F">
            <w:pPr>
              <w:ind w:right="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C07C8F" w:rsidRPr="00C07C8F" w:rsidRDefault="00C07C8F" w:rsidP="00C07C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7" w:type="dxa"/>
          </w:tcPr>
          <w:p w:rsidR="00C07C8F" w:rsidRPr="00C07C8F" w:rsidRDefault="00C07C8F" w:rsidP="00C07C8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217" w:type="dxa"/>
          </w:tcPr>
          <w:p w:rsidR="00C07C8F" w:rsidRPr="00C07C8F" w:rsidRDefault="00C07C8F" w:rsidP="00C07C8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9217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Проведение инвентаризации имущества (в том числе земельных участков), находящегося в муниципальной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местного бюджет МО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9217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Обеспечение работы межведомственных комиссий:</w:t>
            </w:r>
          </w:p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по вопросам уплаты налогов и сокращения убыточности организаций;</w:t>
            </w:r>
          </w:p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17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Меры по оптимизации расходов, в том числе: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7C8F" w:rsidRPr="00C07C8F" w:rsidTr="00C07C8F">
        <w:tc>
          <w:tcPr>
            <w:tcW w:w="48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9217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Оптимизация расходов на содержание материально-технической базы МО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418" w:type="dxa"/>
          </w:tcPr>
          <w:p w:rsidR="00C07C8F" w:rsidRPr="00C07C8F" w:rsidRDefault="0016331A" w:rsidP="00C07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8F" w:rsidRPr="00C07C8F" w:rsidTr="00C07C8F">
        <w:tc>
          <w:tcPr>
            <w:tcW w:w="9701" w:type="dxa"/>
            <w:gridSpan w:val="2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C8F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07C8F" w:rsidRPr="00C07C8F" w:rsidRDefault="00C07C8F" w:rsidP="00C07C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</w:tcPr>
          <w:p w:rsidR="00C07C8F" w:rsidRPr="00C07C8F" w:rsidRDefault="0016331A" w:rsidP="00C07C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C07C8F" w:rsidRDefault="00C07C8F" w:rsidP="00C07C8F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  <w:sectPr w:rsidR="00C07C8F" w:rsidSect="00C07C8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580E85" w:rsidRPr="0065537B" w:rsidRDefault="00580E85" w:rsidP="00580E85">
      <w:pPr>
        <w:rPr>
          <w:sz w:val="28"/>
        </w:rPr>
      </w:pPr>
    </w:p>
    <w:p w:rsidR="00830813" w:rsidRPr="00962A7D" w:rsidRDefault="00830813" w:rsidP="00580E85">
      <w:pPr>
        <w:pStyle w:val="consplusnormal0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830813" w:rsidRPr="00830AC8" w:rsidRDefault="00830813" w:rsidP="00830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C5E" w:rsidRDefault="00201C5E" w:rsidP="00201C5E">
      <w:pPr>
        <w:shd w:val="clear" w:color="auto" w:fill="FFFFFF"/>
        <w:rPr>
          <w:bCs/>
          <w:sz w:val="28"/>
          <w:szCs w:val="28"/>
        </w:rPr>
      </w:pPr>
    </w:p>
    <w:p w:rsidR="00201C5E" w:rsidRDefault="00201C5E" w:rsidP="00201C5E">
      <w:pPr>
        <w:rPr>
          <w:rStyle w:val="s1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201C5E"/>
    <w:rsid w:val="00041D9A"/>
    <w:rsid w:val="00070DA2"/>
    <w:rsid w:val="000746E9"/>
    <w:rsid w:val="000B0463"/>
    <w:rsid w:val="000E4E9C"/>
    <w:rsid w:val="001042F4"/>
    <w:rsid w:val="0012547E"/>
    <w:rsid w:val="00125754"/>
    <w:rsid w:val="00151717"/>
    <w:rsid w:val="0016331A"/>
    <w:rsid w:val="00181C1A"/>
    <w:rsid w:val="00184F8B"/>
    <w:rsid w:val="001E01D4"/>
    <w:rsid w:val="001E22E2"/>
    <w:rsid w:val="002005A6"/>
    <w:rsid w:val="00201C5E"/>
    <w:rsid w:val="00204D7E"/>
    <w:rsid w:val="0021399B"/>
    <w:rsid w:val="00230BA2"/>
    <w:rsid w:val="00247B23"/>
    <w:rsid w:val="002A40C3"/>
    <w:rsid w:val="002C46DE"/>
    <w:rsid w:val="003216BD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64176"/>
    <w:rsid w:val="00580E85"/>
    <w:rsid w:val="00596A7F"/>
    <w:rsid w:val="005E7504"/>
    <w:rsid w:val="00601813"/>
    <w:rsid w:val="00603F05"/>
    <w:rsid w:val="006829E3"/>
    <w:rsid w:val="006F5D31"/>
    <w:rsid w:val="00753473"/>
    <w:rsid w:val="00771920"/>
    <w:rsid w:val="0079569C"/>
    <w:rsid w:val="00830813"/>
    <w:rsid w:val="008D74D2"/>
    <w:rsid w:val="008F2CEF"/>
    <w:rsid w:val="0091043F"/>
    <w:rsid w:val="00987614"/>
    <w:rsid w:val="009B7EED"/>
    <w:rsid w:val="009E2761"/>
    <w:rsid w:val="00A2013F"/>
    <w:rsid w:val="00A36F1D"/>
    <w:rsid w:val="00A44598"/>
    <w:rsid w:val="00A665FA"/>
    <w:rsid w:val="00AB4945"/>
    <w:rsid w:val="00AC0161"/>
    <w:rsid w:val="00AD547C"/>
    <w:rsid w:val="00B74D2C"/>
    <w:rsid w:val="00B913A8"/>
    <w:rsid w:val="00BA1E61"/>
    <w:rsid w:val="00BE116F"/>
    <w:rsid w:val="00BF387F"/>
    <w:rsid w:val="00C023F4"/>
    <w:rsid w:val="00C07C8F"/>
    <w:rsid w:val="00C40F3E"/>
    <w:rsid w:val="00C41290"/>
    <w:rsid w:val="00C64F26"/>
    <w:rsid w:val="00C838C4"/>
    <w:rsid w:val="00CA36EE"/>
    <w:rsid w:val="00CB00FF"/>
    <w:rsid w:val="00CD5E88"/>
    <w:rsid w:val="00D51BA6"/>
    <w:rsid w:val="00DA5B30"/>
    <w:rsid w:val="00DB39E8"/>
    <w:rsid w:val="00E70BCE"/>
    <w:rsid w:val="00E745BD"/>
    <w:rsid w:val="00E92D5C"/>
    <w:rsid w:val="00EA57C6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uiPriority w:val="22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07C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C07C8F"/>
    <w:rPr>
      <w:rFonts w:ascii="Times New Roman" w:hAnsi="Times New Roman" w:cs="Times New Roman" w:hint="default"/>
      <w:sz w:val="26"/>
      <w:szCs w:val="26"/>
    </w:rPr>
  </w:style>
  <w:style w:type="paragraph" w:styleId="af0">
    <w:name w:val="header"/>
    <w:basedOn w:val="a"/>
    <w:link w:val="af1"/>
    <w:rsid w:val="00C07C8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C07C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4A-3E95-43B1-9AD6-55CACE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2021-03-23T11:10:00Z</cp:lastPrinted>
  <dcterms:created xsi:type="dcterms:W3CDTF">2022-05-13T07:46:00Z</dcterms:created>
  <dcterms:modified xsi:type="dcterms:W3CDTF">2022-05-13T07:46:00Z</dcterms:modified>
</cp:coreProperties>
</file>